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C6294" w:rsidP="61264466" w:rsidRDefault="00EB6112" w14:paraId="1D2AD46B" w14:textId="713F87D8">
      <w:pPr>
        <w:rPr>
          <w:rFonts w:ascii="Arial" w:hAnsi="Arial" w:eastAsia="Arial" w:cs="Arial"/>
        </w:rPr>
      </w:pPr>
    </w:p>
    <w:p w:rsidR="00EB6112" w:rsidP="61264466" w:rsidRDefault="00EB6112" w14:paraId="529FAB78" w14:textId="63B8E58C">
      <w:pPr>
        <w:pStyle w:val="Normal"/>
        <w:rPr>
          <w:rFonts w:ascii="Arial" w:hAnsi="Arial" w:eastAsia="Arial" w:cs="Arial"/>
          <w:b w:val="1"/>
          <w:bCs w:val="1"/>
        </w:rPr>
      </w:pPr>
      <w:r w:rsidRPr="61264466" w:rsidR="179C0D8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QEPNT Funding for</w:t>
      </w:r>
      <w:r w:rsidRPr="61264466" w:rsidR="179C0D80">
        <w:rPr>
          <w:rFonts w:ascii="Arial" w:hAnsi="Arial" w:eastAsia="Arial" w:cs="Arial"/>
          <w:b w:val="1"/>
          <w:bCs w:val="1"/>
        </w:rPr>
        <w:t xml:space="preserve"> ECR (Early Career Researcher) and RTP (Research Technical Professional)</w:t>
      </w:r>
      <w:r w:rsidRPr="61264466" w:rsidR="00EB6112">
        <w:rPr>
          <w:rFonts w:ascii="Arial" w:hAnsi="Arial" w:eastAsia="Arial" w:cs="Arial"/>
          <w:b w:val="1"/>
          <w:bCs w:val="1"/>
        </w:rPr>
        <w:t xml:space="preserve"> </w:t>
      </w:r>
      <w:r w:rsidRPr="61264466" w:rsidR="127D9282">
        <w:rPr>
          <w:rFonts w:ascii="Arial" w:hAnsi="Arial" w:eastAsia="Arial" w:cs="Arial"/>
          <w:b w:val="1"/>
          <w:bCs w:val="1"/>
        </w:rPr>
        <w:t xml:space="preserve">Development </w:t>
      </w:r>
    </w:p>
    <w:p w:rsidR="00EB6112" w:rsidP="61264466" w:rsidRDefault="00EB6112" w14:paraId="2AF7337C" w14:textId="77777777">
      <w:pPr>
        <w:rPr>
          <w:rFonts w:ascii="Arial" w:hAnsi="Arial" w:eastAsia="Arial" w:cs="Arial"/>
          <w:b w:val="1"/>
          <w:bCs w:val="1"/>
        </w:rPr>
      </w:pPr>
    </w:p>
    <w:p w:rsidR="00EB6112" w:rsidP="61264466" w:rsidRDefault="00EB6112" w14:paraId="69C2D61A" w14:textId="21CF3DA5">
      <w:pPr>
        <w:rPr>
          <w:rFonts w:ascii="Arial" w:hAnsi="Arial" w:eastAsia="Arial" w:cs="Arial"/>
          <w:b w:val="1"/>
          <w:bCs w:val="1"/>
        </w:rPr>
      </w:pPr>
      <w:r w:rsidRPr="61264466" w:rsidR="00EB6112">
        <w:rPr>
          <w:rFonts w:ascii="Arial" w:hAnsi="Arial" w:eastAsia="Arial" w:cs="Arial"/>
          <w:b w:val="1"/>
          <w:bCs w:val="1"/>
        </w:rPr>
        <w:t>Introduction</w:t>
      </w:r>
    </w:p>
    <w:p w:rsidR="3FB678C8" w:rsidP="61264466" w:rsidRDefault="3FB678C8" w14:paraId="3F905BA0" w14:textId="4E1D766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64466" w:rsidR="3FB678C8">
        <w:rPr>
          <w:rFonts w:ascii="Arial" w:hAnsi="Arial" w:eastAsia="Arial" w:cs="Arial"/>
          <w:noProof w:val="0"/>
          <w:sz w:val="24"/>
          <w:szCs w:val="24"/>
          <w:lang w:val="en-GB"/>
        </w:rPr>
        <w:t>The UK Hub for Quantum Enabled Position, Navigation and Timing (QEPNT) can offer funding opportunities to researchers and technical colleagues working in any of the 5 National Quantum Technology Programme (NQTP) Hubs.</w:t>
      </w:r>
    </w:p>
    <w:p w:rsidR="78F57BD0" w:rsidP="61264466" w:rsidRDefault="78F57BD0" w14:paraId="605E48B6" w14:textId="67E9E4DE">
      <w:pPr>
        <w:rPr>
          <w:rFonts w:ascii="Arial" w:hAnsi="Arial" w:eastAsia="Arial" w:cs="Arial"/>
        </w:rPr>
      </w:pPr>
    </w:p>
    <w:p w:rsidR="60A66CBC" w:rsidP="61264466" w:rsidRDefault="60A66CBC" w14:paraId="4B6C1AAB" w14:textId="6DD8625B">
      <w:pPr>
        <w:rPr>
          <w:rFonts w:ascii="Arial" w:hAnsi="Arial" w:eastAsia="Arial" w:cs="Arial"/>
          <w:highlight w:val="yellow"/>
        </w:rPr>
      </w:pPr>
      <w:r w:rsidRPr="61264466" w:rsidR="3FB678C8">
        <w:rPr>
          <w:rFonts w:ascii="Arial" w:hAnsi="Arial" w:eastAsia="Arial" w:cs="Arial"/>
        </w:rPr>
        <w:t xml:space="preserve">This programme is aimed at those colleagues seeking funding for individual training and professional development, </w:t>
      </w:r>
      <w:r w:rsidRPr="61264466" w:rsidR="00EB6112">
        <w:rPr>
          <w:rFonts w:ascii="Arial" w:hAnsi="Arial" w:eastAsia="Arial" w:cs="Arial"/>
        </w:rPr>
        <w:t>or</w:t>
      </w:r>
      <w:r w:rsidRPr="61264466" w:rsidR="683FF43D">
        <w:rPr>
          <w:rFonts w:ascii="Arial" w:hAnsi="Arial" w:eastAsia="Arial" w:cs="Arial"/>
        </w:rPr>
        <w:t xml:space="preserve"> to</w:t>
      </w:r>
      <w:r w:rsidRPr="61264466" w:rsidR="00EB6112">
        <w:rPr>
          <w:rFonts w:ascii="Arial" w:hAnsi="Arial" w:eastAsia="Arial" w:cs="Arial"/>
        </w:rPr>
        <w:t xml:space="preserve"> those organising training, </w:t>
      </w:r>
      <w:r w:rsidRPr="61264466" w:rsidR="00EB6112">
        <w:rPr>
          <w:rFonts w:ascii="Arial" w:hAnsi="Arial" w:eastAsia="Arial" w:cs="Arial"/>
        </w:rPr>
        <w:t>development</w:t>
      </w:r>
      <w:r w:rsidRPr="61264466" w:rsidR="00EB6112">
        <w:rPr>
          <w:rFonts w:ascii="Arial" w:hAnsi="Arial" w:eastAsia="Arial" w:cs="Arial"/>
        </w:rPr>
        <w:t xml:space="preserve"> or networking opportunities for the</w:t>
      </w:r>
      <w:r w:rsidRPr="61264466" w:rsidR="00AF4E16">
        <w:rPr>
          <w:rFonts w:ascii="Arial" w:hAnsi="Arial" w:eastAsia="Arial" w:cs="Arial"/>
        </w:rPr>
        <w:t xml:space="preserve"> wider</w:t>
      </w:r>
      <w:r w:rsidRPr="61264466" w:rsidR="00EB6112">
        <w:rPr>
          <w:rFonts w:ascii="Arial" w:hAnsi="Arial" w:eastAsia="Arial" w:cs="Arial"/>
        </w:rPr>
        <w:t xml:space="preserve"> </w:t>
      </w:r>
      <w:r w:rsidRPr="61264466" w:rsidR="00A23D9F">
        <w:rPr>
          <w:rFonts w:ascii="Arial" w:hAnsi="Arial" w:eastAsia="Arial" w:cs="Arial"/>
        </w:rPr>
        <w:t xml:space="preserve">quantum </w:t>
      </w:r>
      <w:r w:rsidRPr="61264466" w:rsidR="00EB6112">
        <w:rPr>
          <w:rFonts w:ascii="Arial" w:hAnsi="Arial" w:eastAsia="Arial" w:cs="Arial"/>
        </w:rPr>
        <w:t>community</w:t>
      </w:r>
      <w:r w:rsidRPr="61264466" w:rsidR="00EB6112">
        <w:rPr>
          <w:rFonts w:ascii="Arial" w:hAnsi="Arial" w:eastAsia="Arial" w:cs="Arial"/>
        </w:rPr>
        <w:t xml:space="preserve">.  </w:t>
      </w:r>
      <w:r w:rsidRPr="61264466" w:rsidR="00AF4E16">
        <w:rPr>
          <w:rFonts w:ascii="Arial" w:hAnsi="Arial" w:eastAsia="Arial" w:cs="Arial"/>
        </w:rPr>
        <w:t xml:space="preserve">This forms part of </w:t>
      </w:r>
      <w:r w:rsidRPr="61264466" w:rsidR="022693F0">
        <w:rPr>
          <w:rFonts w:ascii="Arial" w:hAnsi="Arial" w:eastAsia="Arial" w:cs="Arial"/>
        </w:rPr>
        <w:t>the QEPNT</w:t>
      </w:r>
      <w:r w:rsidRPr="61264466" w:rsidR="00AF4E16">
        <w:rPr>
          <w:rFonts w:ascii="Arial" w:hAnsi="Arial" w:eastAsia="Arial" w:cs="Arial"/>
        </w:rPr>
        <w:t xml:space="preserve"> Skills &amp; Training programme, funded </w:t>
      </w:r>
      <w:r w:rsidRPr="61264466" w:rsidR="24B8243F">
        <w:rPr>
          <w:rFonts w:ascii="Arial" w:hAnsi="Arial" w:eastAsia="Arial" w:cs="Arial"/>
        </w:rPr>
        <w:t xml:space="preserve">as a supplementary award </w:t>
      </w:r>
      <w:r w:rsidRPr="61264466" w:rsidR="00AF4E16">
        <w:rPr>
          <w:rFonts w:ascii="Arial" w:hAnsi="Arial" w:eastAsia="Arial" w:cs="Arial"/>
        </w:rPr>
        <w:t xml:space="preserve">by </w:t>
      </w:r>
      <w:r w:rsidRPr="61264466" w:rsidR="349DAF44">
        <w:rPr>
          <w:rFonts w:ascii="Arial" w:hAnsi="Arial" w:eastAsia="Arial" w:cs="Arial"/>
        </w:rPr>
        <w:t>EPSRC</w:t>
      </w:r>
      <w:r w:rsidRPr="61264466" w:rsidR="15B26B80">
        <w:rPr>
          <w:rFonts w:ascii="Arial" w:hAnsi="Arial" w:eastAsia="Arial" w:cs="Arial"/>
        </w:rPr>
        <w:t>.</w:t>
      </w:r>
    </w:p>
    <w:p w:rsidR="1C25BAC9" w:rsidP="61264466" w:rsidRDefault="1C25BAC9" w14:paraId="74D1A2A3" w14:textId="1BF640FA">
      <w:pPr>
        <w:rPr>
          <w:rFonts w:ascii="Arial" w:hAnsi="Arial" w:eastAsia="Arial" w:cs="Arial"/>
        </w:rPr>
      </w:pPr>
    </w:p>
    <w:p w:rsidR="00EB6112" w:rsidP="61264466" w:rsidRDefault="00EB6112" w14:paraId="3C144E21" w14:textId="6AF5FB47">
      <w:pPr>
        <w:rPr>
          <w:rFonts w:ascii="Arial" w:hAnsi="Arial" w:eastAsia="Arial" w:cs="Arial"/>
          <w:b w:val="1"/>
          <w:bCs w:val="1"/>
        </w:rPr>
      </w:pPr>
      <w:r w:rsidRPr="61264466" w:rsidR="00EB6112">
        <w:rPr>
          <w:rFonts w:ascii="Arial" w:hAnsi="Arial" w:eastAsia="Arial" w:cs="Arial"/>
          <w:b w:val="1"/>
          <w:bCs w:val="1"/>
        </w:rPr>
        <w:t xml:space="preserve">Who is eligible to apply? </w:t>
      </w:r>
    </w:p>
    <w:p w:rsidR="00EB6112" w:rsidP="61264466" w:rsidRDefault="00EB6112" w14:paraId="7BA16D92" w14:textId="612EF89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64466" w:rsidR="11E309E5">
        <w:rPr>
          <w:rFonts w:ascii="Arial" w:hAnsi="Arial" w:eastAsia="Arial" w:cs="Arial"/>
          <w:noProof w:val="0"/>
          <w:sz w:val="24"/>
          <w:szCs w:val="24"/>
          <w:lang w:val="en-GB"/>
        </w:rPr>
        <w:t>We can offer funding for researchers, technical staff, and PhD students working within the NQTP hubs, whose work is aligned to the goals of QEPNT</w:t>
      </w:r>
      <w:r w:rsidRPr="61264466" w:rsidR="11E309E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EB6112" w:rsidP="61264466" w:rsidRDefault="00EB6112" w14:paraId="04C706A9" w14:textId="5BC40D19">
      <w:pPr>
        <w:rPr>
          <w:rFonts w:ascii="Arial" w:hAnsi="Arial" w:eastAsia="Arial" w:cs="Arial"/>
        </w:rPr>
      </w:pPr>
    </w:p>
    <w:p w:rsidR="00EB6112" w:rsidP="61264466" w:rsidRDefault="00EB6112" w14:paraId="434C1C79" w14:textId="77777777">
      <w:pPr>
        <w:rPr>
          <w:rFonts w:ascii="Arial" w:hAnsi="Arial" w:eastAsia="Arial" w:cs="Arial"/>
          <w:b w:val="1"/>
          <w:bCs w:val="1"/>
        </w:rPr>
      </w:pPr>
      <w:r w:rsidRPr="61264466" w:rsidR="00EB6112">
        <w:rPr>
          <w:rFonts w:ascii="Arial" w:hAnsi="Arial" w:eastAsia="Arial" w:cs="Arial"/>
          <w:b w:val="1"/>
          <w:bCs w:val="1"/>
        </w:rPr>
        <w:t>What will we fund</w:t>
      </w:r>
      <w:r w:rsidRPr="61264466" w:rsidR="00EB6112">
        <w:rPr>
          <w:rFonts w:ascii="Arial" w:hAnsi="Arial" w:eastAsia="Arial" w:cs="Arial"/>
          <w:b w:val="1"/>
          <w:bCs w:val="1"/>
        </w:rPr>
        <w:t xml:space="preserve">?  </w:t>
      </w:r>
    </w:p>
    <w:p w:rsidR="00EB6112" w:rsidP="61264466" w:rsidRDefault="00EB6112" w14:paraId="4C4496A6" w14:textId="7A227324">
      <w:pPr>
        <w:rPr>
          <w:rFonts w:ascii="Arial" w:hAnsi="Arial" w:eastAsia="Arial" w:cs="Arial"/>
        </w:rPr>
      </w:pPr>
      <w:r w:rsidRPr="61264466" w:rsidR="00EB6112">
        <w:rPr>
          <w:rFonts w:ascii="Arial" w:hAnsi="Arial" w:eastAsia="Arial" w:cs="Arial"/>
        </w:rPr>
        <w:t xml:space="preserve">Funding is offered on a flexible basis, but the types of activities that we will consider funding include: </w:t>
      </w:r>
    </w:p>
    <w:p w:rsidR="00EB6112" w:rsidP="61264466" w:rsidRDefault="00EB6112" w14:paraId="4A666E75" w14:textId="77777777">
      <w:pPr>
        <w:rPr>
          <w:rFonts w:ascii="Arial" w:hAnsi="Arial" w:eastAsia="Arial" w:cs="Arial"/>
        </w:rPr>
      </w:pPr>
    </w:p>
    <w:p w:rsidR="002A6C58" w:rsidP="61264466" w:rsidRDefault="00A23D9F" w14:paraId="760BCCCA" w14:textId="4435820A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61264466" w:rsidR="00A23D9F">
        <w:rPr>
          <w:rFonts w:ascii="Arial" w:hAnsi="Arial" w:eastAsia="Arial" w:cs="Arial"/>
        </w:rPr>
        <w:t>Individual r</w:t>
      </w:r>
      <w:r w:rsidRPr="61264466" w:rsidR="00AA6349">
        <w:rPr>
          <w:rFonts w:ascii="Arial" w:hAnsi="Arial" w:eastAsia="Arial" w:cs="Arial"/>
        </w:rPr>
        <w:t>egistration for training or continuing professional development courses (travel and accommodation costs should be covered by the home institution)</w:t>
      </w:r>
      <w:r w:rsidRPr="61264466" w:rsidR="00D27882">
        <w:rPr>
          <w:rFonts w:ascii="Arial" w:hAnsi="Arial" w:eastAsia="Arial" w:cs="Arial"/>
        </w:rPr>
        <w:t>.</w:t>
      </w:r>
    </w:p>
    <w:p w:rsidR="002A6C58" w:rsidP="61264466" w:rsidRDefault="002A6C58" w14:paraId="0172FC68" w14:textId="0BC43E63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61264466" w:rsidR="002A6C58">
        <w:rPr>
          <w:rFonts w:ascii="Arial" w:hAnsi="Arial" w:eastAsia="Arial" w:cs="Arial"/>
        </w:rPr>
        <w:t xml:space="preserve">Sponsorship for </w:t>
      </w:r>
      <w:r w:rsidRPr="61264466" w:rsidR="002A6C58">
        <w:rPr>
          <w:rFonts w:ascii="Arial" w:hAnsi="Arial" w:eastAsia="Arial" w:cs="Arial"/>
        </w:rPr>
        <w:t xml:space="preserve">networking </w:t>
      </w:r>
      <w:r w:rsidRPr="61264466" w:rsidR="002A6C58">
        <w:rPr>
          <w:rFonts w:ascii="Arial" w:hAnsi="Arial" w:eastAsia="Arial" w:cs="Arial"/>
        </w:rPr>
        <w:t>events</w:t>
      </w:r>
      <w:r w:rsidRPr="61264466" w:rsidR="002A6C58">
        <w:rPr>
          <w:rFonts w:ascii="Arial" w:hAnsi="Arial" w:eastAsia="Arial" w:cs="Arial"/>
        </w:rPr>
        <w:t xml:space="preserve"> aimed at the UK quantum </w:t>
      </w:r>
      <w:r w:rsidRPr="61264466" w:rsidR="000D1809">
        <w:rPr>
          <w:rFonts w:ascii="Arial" w:hAnsi="Arial" w:eastAsia="Arial" w:cs="Arial"/>
        </w:rPr>
        <w:t>community.</w:t>
      </w:r>
    </w:p>
    <w:p w:rsidR="002A6C58" w:rsidP="61264466" w:rsidRDefault="002A6C58" w14:paraId="6D163F01" w14:textId="0C0236BE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61264466" w:rsidR="002A6C58">
        <w:rPr>
          <w:rFonts w:ascii="Arial" w:hAnsi="Arial" w:eastAsia="Arial" w:cs="Arial"/>
        </w:rPr>
        <w:t xml:space="preserve">Funding </w:t>
      </w:r>
      <w:r w:rsidRPr="61264466" w:rsidR="00D27882">
        <w:rPr>
          <w:rFonts w:ascii="Arial" w:hAnsi="Arial" w:eastAsia="Arial" w:cs="Arial"/>
        </w:rPr>
        <w:t xml:space="preserve">or sponsorship </w:t>
      </w:r>
      <w:r w:rsidRPr="61264466" w:rsidR="002A6C58">
        <w:rPr>
          <w:rFonts w:ascii="Arial" w:hAnsi="Arial" w:eastAsia="Arial" w:cs="Arial"/>
        </w:rPr>
        <w:t xml:space="preserve">for training </w:t>
      </w:r>
      <w:r w:rsidRPr="61264466" w:rsidR="63D0D76E">
        <w:rPr>
          <w:rFonts w:ascii="Arial" w:hAnsi="Arial" w:eastAsia="Arial" w:cs="Arial"/>
        </w:rPr>
        <w:t>aimed at</w:t>
      </w:r>
      <w:r w:rsidRPr="61264466" w:rsidR="002A6C58">
        <w:rPr>
          <w:rFonts w:ascii="Arial" w:hAnsi="Arial" w:eastAsia="Arial" w:cs="Arial"/>
        </w:rPr>
        <w:t xml:space="preserve"> Early Career Researchers or Research Technical Professionals (including summer schools, workshops, symposia etc.)</w:t>
      </w:r>
    </w:p>
    <w:p w:rsidR="002A6C58" w:rsidP="61264466" w:rsidRDefault="002A6C58" w14:paraId="7559FEED" w14:textId="77777777">
      <w:pPr>
        <w:rPr>
          <w:rFonts w:ascii="Arial" w:hAnsi="Arial" w:eastAsia="Arial" w:cs="Arial"/>
          <w:b w:val="1"/>
          <w:bCs w:val="1"/>
        </w:rPr>
      </w:pPr>
    </w:p>
    <w:p w:rsidR="00AA6349" w:rsidP="61264466" w:rsidRDefault="00AA6349" w14:paraId="73FACFE0" w14:textId="097C01B4">
      <w:pPr>
        <w:rPr>
          <w:rFonts w:ascii="Arial" w:hAnsi="Arial" w:eastAsia="Arial" w:cs="Arial"/>
          <w:b w:val="1"/>
          <w:bCs w:val="1"/>
        </w:rPr>
      </w:pPr>
      <w:r w:rsidRPr="61264466" w:rsidR="00AA6349">
        <w:rPr>
          <w:rFonts w:ascii="Arial" w:hAnsi="Arial" w:eastAsia="Arial" w:cs="Arial"/>
          <w:b w:val="1"/>
          <w:bCs w:val="1"/>
        </w:rPr>
        <w:t>Levels of funding</w:t>
      </w:r>
      <w:r w:rsidRPr="61264466" w:rsidR="00A23D9F">
        <w:rPr>
          <w:rFonts w:ascii="Arial" w:hAnsi="Arial" w:eastAsia="Arial" w:cs="Arial"/>
          <w:b w:val="1"/>
          <w:bCs w:val="1"/>
        </w:rPr>
        <w:t xml:space="preserve"> available </w:t>
      </w:r>
    </w:p>
    <w:p w:rsidRPr="00AA6349" w:rsidR="00AA6349" w:rsidP="61264466" w:rsidRDefault="00AA6349" w14:paraId="59E336A5" w14:textId="482FF40E">
      <w:pPr>
        <w:rPr>
          <w:rFonts w:ascii="Arial" w:hAnsi="Arial" w:eastAsia="Arial" w:cs="Arial"/>
        </w:rPr>
      </w:pPr>
      <w:r w:rsidRPr="61264466" w:rsidR="00AA6349">
        <w:rPr>
          <w:rFonts w:ascii="Arial" w:hAnsi="Arial" w:eastAsia="Arial" w:cs="Arial"/>
        </w:rPr>
        <w:t>We will fund individual activities to a maximum of £5000</w:t>
      </w:r>
      <w:r w:rsidRPr="61264466" w:rsidR="00A23D9F">
        <w:rPr>
          <w:rFonts w:ascii="Arial" w:hAnsi="Arial" w:eastAsia="Arial" w:cs="Arial"/>
        </w:rPr>
        <w:t xml:space="preserve"> per award</w:t>
      </w:r>
      <w:r w:rsidRPr="61264466" w:rsidR="20E35BA9">
        <w:rPr>
          <w:rFonts w:ascii="Arial" w:hAnsi="Arial" w:eastAsia="Arial" w:cs="Arial"/>
        </w:rPr>
        <w:t>, inclusive of VAT</w:t>
      </w:r>
      <w:r w:rsidRPr="61264466" w:rsidR="5E3E6DFD">
        <w:rPr>
          <w:rFonts w:ascii="Arial" w:hAnsi="Arial" w:eastAsia="Arial" w:cs="Arial"/>
        </w:rPr>
        <w:t xml:space="preserve"> (where applicable)</w:t>
      </w:r>
      <w:r w:rsidRPr="61264466" w:rsidR="00AA6349">
        <w:rPr>
          <w:rFonts w:ascii="Arial" w:hAnsi="Arial" w:eastAsia="Arial" w:cs="Arial"/>
        </w:rPr>
        <w:t>.</w:t>
      </w:r>
      <w:r w:rsidRPr="61264466" w:rsidR="00AF4E16">
        <w:rPr>
          <w:rFonts w:ascii="Arial" w:hAnsi="Arial" w:eastAsia="Arial" w:cs="Arial"/>
        </w:rPr>
        <w:t xml:space="preserve">  </w:t>
      </w:r>
      <w:r w:rsidRPr="61264466" w:rsidR="00AF4E16">
        <w:rPr>
          <w:rFonts w:ascii="Arial" w:hAnsi="Arial" w:eastAsia="Arial" w:cs="Arial"/>
        </w:rPr>
        <w:t>Applications should include a full breakdown of costs</w:t>
      </w:r>
      <w:r w:rsidRPr="61264466" w:rsidR="00AF4E16">
        <w:rPr>
          <w:rFonts w:ascii="Arial" w:hAnsi="Arial" w:eastAsia="Arial" w:cs="Arial"/>
        </w:rPr>
        <w:t xml:space="preserve">.  </w:t>
      </w:r>
    </w:p>
    <w:p w:rsidR="00AA6349" w:rsidP="61264466" w:rsidRDefault="00AA6349" w14:paraId="295F2663" w14:textId="77777777">
      <w:pPr>
        <w:rPr>
          <w:rFonts w:ascii="Arial" w:hAnsi="Arial" w:eastAsia="Arial" w:cs="Arial"/>
          <w:b w:val="1"/>
          <w:bCs w:val="1"/>
        </w:rPr>
      </w:pPr>
    </w:p>
    <w:p w:rsidR="00AA6349" w:rsidP="61264466" w:rsidRDefault="00AA6349" w14:paraId="28483E8A" w14:textId="1DDA9D69">
      <w:pPr>
        <w:rPr>
          <w:rFonts w:ascii="Arial" w:hAnsi="Arial" w:eastAsia="Arial" w:cs="Arial"/>
          <w:b w:val="1"/>
          <w:bCs w:val="1"/>
        </w:rPr>
      </w:pPr>
      <w:r w:rsidRPr="61264466" w:rsidR="00AA6349">
        <w:rPr>
          <w:rFonts w:ascii="Arial" w:hAnsi="Arial" w:eastAsia="Arial" w:cs="Arial"/>
          <w:b w:val="1"/>
          <w:bCs w:val="1"/>
        </w:rPr>
        <w:t>Funding Conditions</w:t>
      </w:r>
      <w:r w:rsidRPr="61264466" w:rsidR="2C8435F8">
        <w:rPr>
          <w:rFonts w:ascii="Arial" w:hAnsi="Arial" w:eastAsia="Arial" w:cs="Arial"/>
          <w:b w:val="1"/>
          <w:bCs w:val="1"/>
        </w:rPr>
        <w:t xml:space="preserve"> and Payment Terms</w:t>
      </w:r>
    </w:p>
    <w:p w:rsidR="4DB52D91" w:rsidP="61264466" w:rsidRDefault="4DB52D91" w14:paraId="27373F54" w14:textId="784DC303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61264466" w:rsidR="4DB52D91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 xml:space="preserve">Funding will be paid directly to the </w:t>
      </w:r>
      <w:r w:rsidRPr="61264466" w:rsidR="4E17EC75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>home institution of the recipient</w:t>
      </w:r>
      <w:r w:rsidRPr="61264466" w:rsidR="4DB52D91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 xml:space="preserve"> as a </w:t>
      </w:r>
      <w:r w:rsidRPr="61264466" w:rsidR="2181043E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>single award</w:t>
      </w:r>
      <w:r w:rsidRPr="61264466" w:rsidR="4DB52D91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>. We are unable to pay any costs (including personal expenses) to a personal bank account</w:t>
      </w:r>
      <w:r w:rsidRPr="61264466" w:rsidR="4DB52D91">
        <w:rPr>
          <w:rFonts w:ascii="Arial" w:hAnsi="Arial" w:eastAsia="Arial" w:cs="Arial"/>
          <w:noProof w:val="0"/>
          <w:color w:val="000000" w:themeColor="text1" w:themeTint="FF" w:themeShade="FF"/>
          <w:lang w:val="en-GB"/>
        </w:rPr>
        <w:t xml:space="preserve">.  </w:t>
      </w:r>
      <w:r w:rsidRPr="61264466" w:rsidR="4DB52D91">
        <w:rPr>
          <w:rFonts w:ascii="Arial" w:hAnsi="Arial" w:eastAsia="Arial" w:cs="Arial"/>
        </w:rPr>
        <w:t xml:space="preserve">  </w:t>
      </w:r>
    </w:p>
    <w:p w:rsidR="789235CD" w:rsidP="61264466" w:rsidRDefault="789235CD" w14:paraId="7788D36D" w14:textId="1E6ACFB4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QEPNT will pay to the </w:t>
      </w:r>
      <w:r w:rsidRPr="61264466" w:rsidR="32A4AAF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ecipient 80% of the full economic costs directly incurred by the </w:t>
      </w:r>
      <w:r w:rsidRPr="61264466" w:rsidR="4A37C22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ecipient. </w:t>
      </w:r>
    </w:p>
    <w:p w:rsidR="789235CD" w:rsidP="61264466" w:rsidRDefault="789235CD" w14:paraId="1018EE22" w14:textId="2222F496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61264466" w:rsidR="6ED34F6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unding must be used only for the purposes of the activity outlined in the application form and must be spent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the project budget set out therein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</w:p>
    <w:p w:rsidR="789235CD" w:rsidP="61264466" w:rsidRDefault="789235CD" w14:paraId="12DB96D9" w14:textId="0C7117AB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award is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deemed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to be inclusive of VAT and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represents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maximum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amount payable by QEPNT to the </w:t>
      </w:r>
      <w:r w:rsidRPr="61264466" w:rsidR="551D6F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ecipient.</w:t>
      </w:r>
    </w:p>
    <w:p w:rsidR="789235CD" w:rsidP="61264466" w:rsidRDefault="789235CD" w14:paraId="7897571D" w14:textId="52AF3F76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Under no circumstances will QEPNT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be responsible for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any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costs incurred by the </w:t>
      </w:r>
      <w:r w:rsidRPr="61264466" w:rsidR="6724136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ecipient in connection with the activity.</w:t>
      </w:r>
    </w:p>
    <w:p w:rsidR="789235CD" w:rsidP="61264466" w:rsidRDefault="789235CD" w14:paraId="49FAF259" w14:textId="4BE0E77B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award must be spent 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EPSRC grant award Terms and Conditions </w:t>
      </w:r>
      <w:hyperlink r:id="Rb52bacf0c1354b99">
        <w:r w:rsidRPr="61264466" w:rsidR="789235CD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https://www.ukri.org/wp-content/uploads/2025/03/UKRI-28032025-UKRI_fEC-Grant-Terms-And-Conditions-April-2025.pdf</w:t>
        </w:r>
      </w:hyperlink>
      <w:r w:rsidRPr="61264466" w:rsidR="789235C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A23D9F" w:rsidP="61264466" w:rsidRDefault="00A23D9F" w14:paraId="7BFE08A6" w14:textId="47CB7D60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61264466" w:rsidR="00A23D9F">
        <w:rPr>
          <w:rFonts w:ascii="Arial" w:hAnsi="Arial" w:eastAsia="Arial" w:cs="Arial"/>
        </w:rPr>
        <w:t>Funding is conditional on the receipt of a post-activity/event report</w:t>
      </w:r>
      <w:r w:rsidRPr="61264466" w:rsidR="2728C1E1">
        <w:rPr>
          <w:rFonts w:ascii="Arial" w:hAnsi="Arial" w:eastAsia="Arial" w:cs="Arial"/>
        </w:rPr>
        <w:t xml:space="preserve"> </w:t>
      </w:r>
      <w:r w:rsidRPr="61264466" w:rsidR="2728C1E1">
        <w:rPr>
          <w:rFonts w:ascii="Arial" w:hAnsi="Arial" w:eastAsia="Arial" w:cs="Arial"/>
          <w:noProof w:val="0"/>
          <w:sz w:val="24"/>
          <w:szCs w:val="24"/>
          <w:lang w:val="en-GB"/>
        </w:rPr>
        <w:t>within one-month of the event taking place,</w:t>
      </w:r>
      <w:r w:rsidRPr="61264466" w:rsidR="00A23D9F">
        <w:rPr>
          <w:rFonts w:ascii="Arial" w:hAnsi="Arial" w:eastAsia="Arial" w:cs="Arial"/>
        </w:rPr>
        <w:t xml:space="preserve"> outlining the main outcomes/impact of the </w:t>
      </w:r>
      <w:r w:rsidRPr="61264466" w:rsidR="5C706CC0">
        <w:rPr>
          <w:rFonts w:ascii="Arial" w:hAnsi="Arial" w:eastAsia="Arial" w:cs="Arial"/>
        </w:rPr>
        <w:t>f</w:t>
      </w:r>
      <w:r w:rsidRPr="61264466" w:rsidR="00A23D9F">
        <w:rPr>
          <w:rFonts w:ascii="Arial" w:hAnsi="Arial" w:eastAsia="Arial" w:cs="Arial"/>
        </w:rPr>
        <w:t>unding</w:t>
      </w:r>
      <w:r w:rsidRPr="61264466" w:rsidR="00A23D9F">
        <w:rPr>
          <w:rFonts w:ascii="Arial" w:hAnsi="Arial" w:eastAsia="Arial" w:cs="Arial"/>
        </w:rPr>
        <w:t xml:space="preserve">.  </w:t>
      </w:r>
      <w:r w:rsidRPr="61264466" w:rsidR="00A23D9F">
        <w:rPr>
          <w:rFonts w:ascii="Arial" w:hAnsi="Arial" w:eastAsia="Arial" w:cs="Arial"/>
        </w:rPr>
        <w:t>The Hub Management Team will provide a pro-forma to all successful recipients.</w:t>
      </w:r>
    </w:p>
    <w:p w:rsidRPr="00A23D9F" w:rsidR="00AA6349" w:rsidP="61264466" w:rsidRDefault="00A23D9F" w14:paraId="1D1746AC" w14:textId="016B1379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61264466" w:rsidR="00A23D9F">
        <w:rPr>
          <w:rFonts w:ascii="Arial" w:hAnsi="Arial" w:eastAsia="Arial" w:cs="Arial"/>
        </w:rPr>
        <w:t>Funding is only available for colleagues working in one or more of the NQTP Hubs</w:t>
      </w:r>
      <w:r w:rsidRPr="61264466" w:rsidR="00A23D9F">
        <w:rPr>
          <w:rFonts w:ascii="Arial" w:hAnsi="Arial" w:eastAsia="Arial" w:cs="Arial"/>
        </w:rPr>
        <w:t xml:space="preserve">.  </w:t>
      </w:r>
      <w:r w:rsidRPr="61264466" w:rsidR="00A23D9F">
        <w:rPr>
          <w:rFonts w:ascii="Arial" w:hAnsi="Arial" w:eastAsia="Arial" w:cs="Arial"/>
        </w:rPr>
        <w:t xml:space="preserve">  </w:t>
      </w:r>
    </w:p>
    <w:p w:rsidR="182FBB3B" w:rsidP="61264466" w:rsidRDefault="182FBB3B" w14:paraId="2E6EC5F5" w14:textId="50D8017D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Events/activities must be related to </w:t>
      </w:r>
      <w:r w:rsidRPr="61264466" w:rsidR="6E5C3F4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 work of the NQTP Hubs and be </w:t>
      </w: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ligned to the </w:t>
      </w: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>objectives</w:t>
      </w: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the QEPNT Hub</w:t>
      </w:r>
      <w:r w:rsidRPr="61264466" w:rsidR="182FBB3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540E594F" w:rsidP="61264466" w:rsidRDefault="540E594F" w14:paraId="14EF0F08" w14:textId="29D07C4B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64466" w:rsidR="540E594F">
        <w:rPr>
          <w:rFonts w:ascii="Arial" w:hAnsi="Arial" w:eastAsia="Arial" w:cs="Arial"/>
          <w:noProof w:val="0"/>
          <w:sz w:val="24"/>
          <w:szCs w:val="24"/>
          <w:lang w:val="en-GB"/>
        </w:rPr>
        <w:t>This scheme cannot be used to pay for researcher salaries, or any other costs associated with the payment of an individual</w:t>
      </w:r>
      <w:r w:rsidRPr="61264466" w:rsidR="540E594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AA6349" w:rsidP="61264466" w:rsidRDefault="00AA6349" w14:paraId="4C776AB1" w14:textId="77777777">
      <w:pPr>
        <w:rPr>
          <w:rFonts w:ascii="Arial" w:hAnsi="Arial" w:eastAsia="Arial" w:cs="Arial"/>
          <w:b w:val="1"/>
          <w:bCs w:val="1"/>
        </w:rPr>
      </w:pPr>
    </w:p>
    <w:p w:rsidR="00AA6349" w:rsidP="61264466" w:rsidRDefault="00AA6349" w14:paraId="1C75D04B" w14:textId="25A797A9">
      <w:pPr>
        <w:rPr>
          <w:rFonts w:ascii="Arial" w:hAnsi="Arial" w:eastAsia="Arial" w:cs="Arial"/>
          <w:b w:val="1"/>
          <w:bCs w:val="1"/>
        </w:rPr>
      </w:pPr>
      <w:r w:rsidRPr="61264466" w:rsidR="00AA6349">
        <w:rPr>
          <w:rFonts w:ascii="Arial" w:hAnsi="Arial" w:eastAsia="Arial" w:cs="Arial"/>
          <w:b w:val="1"/>
          <w:bCs w:val="1"/>
        </w:rPr>
        <w:t>Application Process</w:t>
      </w:r>
    </w:p>
    <w:p w:rsidRPr="00A23D9F" w:rsidR="00A23D9F" w:rsidP="61264466" w:rsidRDefault="00A23D9F" w14:paraId="026B1DE4" w14:textId="6C650EDD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</w:rPr>
      </w:pPr>
      <w:r w:rsidRPr="61264466" w:rsidR="00A23D9F">
        <w:rPr>
          <w:rFonts w:ascii="Arial" w:hAnsi="Arial" w:eastAsia="Arial" w:cs="Arial"/>
        </w:rPr>
        <w:t>Eligible candidates may apply for funding at any time during the current phase</w:t>
      </w:r>
      <w:r w:rsidRPr="61264466" w:rsidR="3103D493">
        <w:rPr>
          <w:rFonts w:ascii="Arial" w:hAnsi="Arial" w:eastAsia="Arial" w:cs="Arial"/>
        </w:rPr>
        <w:t xml:space="preserve"> of the NQTP Hubs</w:t>
      </w:r>
      <w:r w:rsidRPr="61264466" w:rsidR="00A23D9F">
        <w:rPr>
          <w:rFonts w:ascii="Arial" w:hAnsi="Arial" w:eastAsia="Arial" w:cs="Arial"/>
        </w:rPr>
        <w:t xml:space="preserve"> (to November 2029). </w:t>
      </w:r>
    </w:p>
    <w:p w:rsidRPr="00D00062" w:rsidR="00A23D9F" w:rsidP="61264466" w:rsidRDefault="00A23D9F" w14:paraId="0291C32E" w14:textId="2B2B444D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</w:rPr>
      </w:pPr>
      <w:r w:rsidRPr="61264466" w:rsidR="00A23D9F">
        <w:rPr>
          <w:rFonts w:ascii="Arial" w:hAnsi="Arial" w:eastAsia="Arial" w:cs="Arial"/>
        </w:rPr>
        <w:t xml:space="preserve">Requests for funding should be made </w:t>
      </w:r>
      <w:r w:rsidRPr="61264466" w:rsidR="00D00062">
        <w:rPr>
          <w:rFonts w:ascii="Arial" w:hAnsi="Arial" w:eastAsia="Arial" w:cs="Arial"/>
        </w:rPr>
        <w:t xml:space="preserve">by completing the </w:t>
      </w:r>
      <w:r w:rsidRPr="61264466" w:rsidR="00D00062">
        <w:rPr>
          <w:rFonts w:ascii="Arial" w:hAnsi="Arial" w:eastAsia="Arial" w:cs="Arial"/>
        </w:rPr>
        <w:t>appropriate application</w:t>
      </w:r>
      <w:r w:rsidRPr="61264466" w:rsidR="00D00062">
        <w:rPr>
          <w:rFonts w:ascii="Arial" w:hAnsi="Arial" w:eastAsia="Arial" w:cs="Arial"/>
        </w:rPr>
        <w:t xml:space="preserve"> form and returning it to </w:t>
      </w:r>
      <w:hyperlink r:id="Reddd758376c44c3c">
        <w:r w:rsidRPr="61264466" w:rsidR="00D00062">
          <w:rPr>
            <w:rStyle w:val="Hyperlink"/>
            <w:rFonts w:ascii="Arial" w:hAnsi="Arial" w:eastAsia="Arial" w:cs="Arial"/>
          </w:rPr>
          <w:t>info@QEPNT.ac.uk</w:t>
        </w:r>
      </w:hyperlink>
      <w:r w:rsidRPr="61264466" w:rsidR="00D00062">
        <w:rPr>
          <w:rFonts w:ascii="Arial" w:hAnsi="Arial" w:eastAsia="Arial" w:cs="Arial"/>
        </w:rPr>
        <w:t xml:space="preserve">.  </w:t>
      </w:r>
    </w:p>
    <w:p w:rsidR="00D00062" w:rsidP="61264466" w:rsidRDefault="008F4FAE" w14:paraId="201AC3F3" w14:textId="22CC6FB2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1264466" w:rsidR="008F4FAE">
        <w:rPr>
          <w:rFonts w:ascii="Arial" w:hAnsi="Arial" w:eastAsia="Arial" w:cs="Arial"/>
        </w:rPr>
        <w:t>Applications will be considered on a case-by-case basis</w:t>
      </w:r>
      <w:r w:rsidRPr="61264466" w:rsidR="008F4FAE">
        <w:rPr>
          <w:rFonts w:ascii="Arial" w:hAnsi="Arial" w:eastAsia="Arial" w:cs="Arial"/>
        </w:rPr>
        <w:t xml:space="preserve">, and peer reviewed by a selection panel including the Hub PI, Hub Director, Hub </w:t>
      </w:r>
      <w:r w:rsidRPr="61264466" w:rsidR="008F4FAE">
        <w:rPr>
          <w:rFonts w:ascii="Arial" w:hAnsi="Arial" w:eastAsia="Arial" w:cs="Arial"/>
        </w:rPr>
        <w:t>Management</w:t>
      </w:r>
      <w:r w:rsidRPr="61264466" w:rsidR="008F4FAE">
        <w:rPr>
          <w:rFonts w:ascii="Arial" w:hAnsi="Arial" w:eastAsia="Arial" w:cs="Arial"/>
        </w:rPr>
        <w:t xml:space="preserve"> and selected Hub </w:t>
      </w:r>
      <w:r w:rsidRPr="61264466" w:rsidR="008F4FAE">
        <w:rPr>
          <w:rFonts w:ascii="Arial" w:hAnsi="Arial" w:eastAsia="Arial" w:cs="Arial"/>
        </w:rPr>
        <w:t>CoIs</w:t>
      </w:r>
      <w:r w:rsidRPr="61264466" w:rsidR="008F4FAE">
        <w:rPr>
          <w:rFonts w:ascii="Arial" w:hAnsi="Arial" w:eastAsia="Arial" w:cs="Arial"/>
        </w:rPr>
        <w:t xml:space="preserve">.  </w:t>
      </w:r>
      <w:r w:rsidRPr="61264466" w:rsidR="008F4FAE">
        <w:rPr>
          <w:rFonts w:ascii="Arial" w:hAnsi="Arial" w:eastAsia="Arial" w:cs="Arial"/>
        </w:rPr>
        <w:t xml:space="preserve">Members of the review panel will </w:t>
      </w:r>
      <w:r w:rsidRPr="61264466" w:rsidR="008F4FAE">
        <w:rPr>
          <w:rFonts w:ascii="Arial" w:hAnsi="Arial" w:eastAsia="Arial" w:cs="Arial"/>
        </w:rPr>
        <w:t>be required</w:t>
      </w:r>
      <w:r w:rsidRPr="61264466" w:rsidR="008F4FAE">
        <w:rPr>
          <w:rFonts w:ascii="Arial" w:hAnsi="Arial" w:eastAsia="Arial" w:cs="Arial"/>
        </w:rPr>
        <w:t xml:space="preserve"> to declare any conflicts of interest and abstain where necessary. </w:t>
      </w:r>
    </w:p>
    <w:p w:rsidRPr="008F4FAE" w:rsidR="008F4FAE" w:rsidP="61264466" w:rsidRDefault="008F4FAE" w14:paraId="65B0F43C" w14:textId="104C34F0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1264466" w:rsidR="008F4FAE">
        <w:rPr>
          <w:rFonts w:ascii="Arial" w:hAnsi="Arial" w:eastAsia="Arial" w:cs="Arial"/>
        </w:rPr>
        <w:t xml:space="preserve">You should expect to receive a response to your request within one month of application. </w:t>
      </w:r>
    </w:p>
    <w:p w:rsidR="00AA6349" w:rsidP="61264466" w:rsidRDefault="00AA6349" w14:paraId="73094101" w14:textId="77777777">
      <w:pPr>
        <w:rPr>
          <w:rFonts w:ascii="Arial" w:hAnsi="Arial" w:eastAsia="Arial" w:cs="Arial"/>
          <w:b w:val="1"/>
          <w:bCs w:val="1"/>
        </w:rPr>
      </w:pPr>
    </w:p>
    <w:p w:rsidRPr="00AA6349" w:rsidR="00AA6349" w:rsidP="61264466" w:rsidRDefault="00AA6349" w14:paraId="28ABC93C" w14:textId="1B097D7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61264466" w:rsidR="6CEF14D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Equality</w:t>
      </w:r>
      <w:r w:rsidRPr="61264466" w:rsidR="6CEF14D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1264466" w:rsidR="6CEF14D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Diversity</w:t>
      </w:r>
      <w:r w:rsidRPr="61264466" w:rsidR="6CEF14D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Inclusion</w:t>
      </w:r>
    </w:p>
    <w:p w:rsidRPr="00AA6349" w:rsidR="00AA6349" w:rsidP="61264466" w:rsidRDefault="00AA6349" w14:paraId="06981CD4" w14:textId="6E85B46D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61264466" w:rsidR="1421A31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The QEPNT Hub is committed to supporting Equality, Diversity and Inclusion (EDI), and our funding programmes are designed to align with our EDI Strategy</w:t>
      </w:r>
      <w:r w:rsidRPr="61264466" w:rsidR="1421A31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.  </w:t>
      </w:r>
      <w:r w:rsidRPr="61264466" w:rsidR="1421A31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We therefore aim to provide funding as flexibly as possible, with a particular focus on reducing barriers to professional development opportunities; especially for under-represented groups and individuals with caring responsibilities.</w:t>
      </w:r>
    </w:p>
    <w:sectPr w:rsidRPr="00AA6349" w:rsidR="00AA6349" w:rsidSect="00580095">
      <w:pgSz w:w="11900" w:h="16840" w:orient="portrait"/>
      <w:pgMar w:top="1440" w:right="1440" w:bottom="1440" w:left="1440" w:header="720" w:footer="720" w:gutter="0"/>
      <w:cols w:space="720"/>
      <w:docGrid w:linePitch="360"/>
      <w:headerReference w:type="default" r:id="Ra130e557abc84165"/>
      <w:footerReference w:type="default" r:id="Rb4a08f23190347e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B4861A" w:rsidTr="4AB4861A" w14:paraId="7631D149">
      <w:trPr>
        <w:trHeight w:val="300"/>
      </w:trPr>
      <w:tc>
        <w:tcPr>
          <w:tcW w:w="3005" w:type="dxa"/>
          <w:tcMar/>
        </w:tcPr>
        <w:p w:rsidR="4AB4861A" w:rsidP="4AB4861A" w:rsidRDefault="4AB4861A" w14:paraId="7850C906" w14:textId="526710E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B4861A" w:rsidP="4AB4861A" w:rsidRDefault="4AB4861A" w14:paraId="1822250B" w14:textId="0508A3E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B4861A" w:rsidP="4AB4861A" w:rsidRDefault="4AB4861A" w14:paraId="18EF001D" w14:textId="3C629E09">
          <w:pPr>
            <w:pStyle w:val="Header"/>
            <w:bidi w:val="0"/>
            <w:ind w:right="-115"/>
            <w:jc w:val="right"/>
          </w:pPr>
        </w:p>
      </w:tc>
    </w:tr>
  </w:tbl>
  <w:p w:rsidR="4AB4861A" w:rsidP="4AB4861A" w:rsidRDefault="4AB4861A" w14:paraId="47A8484C" w14:textId="7E3A20B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2985"/>
      <w:gridCol w:w="2985"/>
    </w:tblGrid>
    <w:tr w:rsidR="4AB4861A" w:rsidTr="4AB4861A" w14:paraId="3CDADD63">
      <w:trPr>
        <w:trHeight w:val="300"/>
      </w:trPr>
      <w:tc>
        <w:tcPr>
          <w:tcW w:w="3045" w:type="dxa"/>
          <w:tcMar/>
        </w:tcPr>
        <w:p w:rsidR="4AB4861A" w:rsidP="4AB4861A" w:rsidRDefault="4AB4861A" w14:paraId="7BE7A46A" w14:textId="4D740E86">
          <w:pPr>
            <w:pStyle w:val="Header"/>
            <w:ind w:left="-115"/>
            <w:jc w:val="left"/>
          </w:pPr>
          <w:r w:rsidR="4AB4861A">
            <w:drawing>
              <wp:inline wp14:editId="5A4F405B" wp14:anchorId="2F9F86BB">
                <wp:extent cx="1803488" cy="765183"/>
                <wp:effectExtent l="0" t="0" r="0" b="0"/>
                <wp:docPr id="632735010" name="Picture 1" descr="A blue and white logo&#10;&#10;AI-generated content may be incorrect.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244054770" name="Picture 1" descr="A blue and white logo&#10;&#10;AI-generated content may be incorrect.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803488" cy="765183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tcMar/>
        </w:tcPr>
        <w:p w:rsidR="4AB4861A" w:rsidP="4AB4861A" w:rsidRDefault="4AB4861A" w14:paraId="329247C4" w14:textId="6A99A4CE">
          <w:pPr>
            <w:pStyle w:val="Header"/>
            <w:bidi w:val="0"/>
            <w:jc w:val="center"/>
          </w:pPr>
        </w:p>
      </w:tc>
      <w:tc>
        <w:tcPr>
          <w:tcW w:w="2985" w:type="dxa"/>
          <w:tcMar/>
        </w:tcPr>
        <w:p w:rsidR="4AB4861A" w:rsidP="4AB4861A" w:rsidRDefault="4AB4861A" w14:paraId="046F98CA" w14:textId="4051326D">
          <w:pPr>
            <w:pStyle w:val="Header"/>
            <w:bidi w:val="0"/>
            <w:ind w:right="-115"/>
            <w:jc w:val="right"/>
          </w:pPr>
        </w:p>
      </w:tc>
    </w:tr>
  </w:tbl>
  <w:p w:rsidR="4AB4861A" w:rsidP="4AB4861A" w:rsidRDefault="4AB4861A" w14:paraId="6A55D246" w14:textId="6A189F8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53089"/>
    <w:multiLevelType w:val="hybridMultilevel"/>
    <w:tmpl w:val="4E1270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53757C"/>
    <w:multiLevelType w:val="hybridMultilevel"/>
    <w:tmpl w:val="E0164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F43A31"/>
    <w:multiLevelType w:val="hybridMultilevel"/>
    <w:tmpl w:val="3A0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0062506">
    <w:abstractNumId w:val="0"/>
  </w:num>
  <w:num w:numId="2" w16cid:durableId="1468738228">
    <w:abstractNumId w:val="1"/>
  </w:num>
  <w:num w:numId="3" w16cid:durableId="80230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12"/>
    <w:rsid w:val="000D1809"/>
    <w:rsid w:val="000F02C4"/>
    <w:rsid w:val="00101E06"/>
    <w:rsid w:val="00201227"/>
    <w:rsid w:val="002A6C58"/>
    <w:rsid w:val="002E39A2"/>
    <w:rsid w:val="003B4EF8"/>
    <w:rsid w:val="003C276B"/>
    <w:rsid w:val="0057433A"/>
    <w:rsid w:val="00580095"/>
    <w:rsid w:val="006C6294"/>
    <w:rsid w:val="006D7BE7"/>
    <w:rsid w:val="006F3FCC"/>
    <w:rsid w:val="008A311B"/>
    <w:rsid w:val="008F4FAE"/>
    <w:rsid w:val="00A23D9F"/>
    <w:rsid w:val="00A42C2B"/>
    <w:rsid w:val="00AA6349"/>
    <w:rsid w:val="00AF4E16"/>
    <w:rsid w:val="00C55BAD"/>
    <w:rsid w:val="00CC76CD"/>
    <w:rsid w:val="00D00062"/>
    <w:rsid w:val="00D27882"/>
    <w:rsid w:val="00EB6112"/>
    <w:rsid w:val="00F837B8"/>
    <w:rsid w:val="00FB0608"/>
    <w:rsid w:val="022693F0"/>
    <w:rsid w:val="02B25CF0"/>
    <w:rsid w:val="0647BEDE"/>
    <w:rsid w:val="0A17AD14"/>
    <w:rsid w:val="0B4FCFEF"/>
    <w:rsid w:val="0DBC46C6"/>
    <w:rsid w:val="11E309E5"/>
    <w:rsid w:val="127D9282"/>
    <w:rsid w:val="138AE3B2"/>
    <w:rsid w:val="1421A312"/>
    <w:rsid w:val="149076A6"/>
    <w:rsid w:val="15B26B80"/>
    <w:rsid w:val="179C0D80"/>
    <w:rsid w:val="182FBB3B"/>
    <w:rsid w:val="1C25BAC9"/>
    <w:rsid w:val="1F028414"/>
    <w:rsid w:val="20E35BA9"/>
    <w:rsid w:val="2181043E"/>
    <w:rsid w:val="21DC7A34"/>
    <w:rsid w:val="2306B9F0"/>
    <w:rsid w:val="24B8243F"/>
    <w:rsid w:val="24C6913B"/>
    <w:rsid w:val="2728C1E1"/>
    <w:rsid w:val="28FB82A4"/>
    <w:rsid w:val="29099215"/>
    <w:rsid w:val="2B1C0F38"/>
    <w:rsid w:val="2BAC6759"/>
    <w:rsid w:val="2C8435F8"/>
    <w:rsid w:val="309703BB"/>
    <w:rsid w:val="3103D493"/>
    <w:rsid w:val="311517C5"/>
    <w:rsid w:val="312BF803"/>
    <w:rsid w:val="32A4AAF4"/>
    <w:rsid w:val="349DAF44"/>
    <w:rsid w:val="3B0EC2C6"/>
    <w:rsid w:val="3BBA2B53"/>
    <w:rsid w:val="3C786FD7"/>
    <w:rsid w:val="3F777A8F"/>
    <w:rsid w:val="3FB678C8"/>
    <w:rsid w:val="403335FB"/>
    <w:rsid w:val="43E9EA8C"/>
    <w:rsid w:val="48C94AAF"/>
    <w:rsid w:val="4989E87B"/>
    <w:rsid w:val="4A37C226"/>
    <w:rsid w:val="4AB4861A"/>
    <w:rsid w:val="4D90FC54"/>
    <w:rsid w:val="4DB52D91"/>
    <w:rsid w:val="4E17EC75"/>
    <w:rsid w:val="50DD3B90"/>
    <w:rsid w:val="540E594F"/>
    <w:rsid w:val="551D6F62"/>
    <w:rsid w:val="58FDF056"/>
    <w:rsid w:val="59E49F7C"/>
    <w:rsid w:val="5AD69966"/>
    <w:rsid w:val="5C706CC0"/>
    <w:rsid w:val="5E3E6DFD"/>
    <w:rsid w:val="60A66CBC"/>
    <w:rsid w:val="61264466"/>
    <w:rsid w:val="63D0D76E"/>
    <w:rsid w:val="653B6FA6"/>
    <w:rsid w:val="658D5552"/>
    <w:rsid w:val="66817171"/>
    <w:rsid w:val="67241369"/>
    <w:rsid w:val="683FF43D"/>
    <w:rsid w:val="6A2C5CAE"/>
    <w:rsid w:val="6C4CB508"/>
    <w:rsid w:val="6CEF14D5"/>
    <w:rsid w:val="6E5C3F4E"/>
    <w:rsid w:val="6ED34F69"/>
    <w:rsid w:val="6F02F92C"/>
    <w:rsid w:val="709E1C8A"/>
    <w:rsid w:val="752BB46D"/>
    <w:rsid w:val="75B37C92"/>
    <w:rsid w:val="7684B6E7"/>
    <w:rsid w:val="789235CD"/>
    <w:rsid w:val="78F57BD0"/>
    <w:rsid w:val="795BD40A"/>
    <w:rsid w:val="7C87F9CD"/>
    <w:rsid w:val="7DEC3FD7"/>
    <w:rsid w:val="7F77EEFB"/>
    <w:rsid w:val="7F9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9C0C1"/>
  <w14:defaultImageDpi w14:val="32767"/>
  <w15:chartTrackingRefBased/>
  <w15:docId w15:val="{5B1AB32B-5FCA-2A40-AA56-E4968E4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1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11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611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611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611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611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611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611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611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611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6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11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61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11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6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1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6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1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0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0062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4AB4861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AB4861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a130e557abc84165" /><Relationship Type="http://schemas.openxmlformats.org/officeDocument/2006/relationships/footer" Target="footer.xml" Id="Rb4a08f23190347e9" /><Relationship Type="http://schemas.openxmlformats.org/officeDocument/2006/relationships/hyperlink" Target="https://www.ukri.org/wp-content/uploads/2025/03/UKRI-28032025-UKRI_fEC-Grant-Terms-And-Conditions-April-2025.pdf" TargetMode="External" Id="Rb52bacf0c1354b99" /><Relationship Type="http://schemas.openxmlformats.org/officeDocument/2006/relationships/hyperlink" Target="mailto:info@QEPNT.ac.uk" TargetMode="External" Id="Reddd758376c44c3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AFD7EB22774DB8B223FD9C97A079" ma:contentTypeVersion="12" ma:contentTypeDescription="Create a new document." ma:contentTypeScope="" ma:versionID="bf918595658bf19f9b06880467aa0bd4">
  <xsd:schema xmlns:xsd="http://www.w3.org/2001/XMLSchema" xmlns:xs="http://www.w3.org/2001/XMLSchema" xmlns:p="http://schemas.microsoft.com/office/2006/metadata/properties" xmlns:ns2="a00c3c58-12d9-41b1-b7cf-c4247674f9a5" xmlns:ns3="8b8cb216-606f-4263-be54-28c06aa358bb" targetNamespace="http://schemas.microsoft.com/office/2006/metadata/properties" ma:root="true" ma:fieldsID="61b31c1c9c29e72401a6719c09a3e465" ns2:_="" ns3:_="">
    <xsd:import namespace="a00c3c58-12d9-41b1-b7cf-c4247674f9a5"/>
    <xsd:import namespace="8b8cb216-606f-4263-be54-28c06aa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c58-12d9-41b1-b7cf-c4247674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b216-606f-4263-be54-28c06aa358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26e71b-1bcc-47b1-88a5-3093ba6a74d8}" ma:internalName="TaxCatchAll" ma:showField="CatchAllData" ma:web="8b8cb216-606f-4263-be54-28c06aa35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cb216-606f-4263-be54-28c06aa358bb" xsi:nil="true"/>
    <lcf76f155ced4ddcb4097134ff3c332f xmlns="a00c3c58-12d9-41b1-b7cf-c4247674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2A518-15BE-4CB1-8CD3-0FD683376FA4}"/>
</file>

<file path=customXml/itemProps2.xml><?xml version="1.0" encoding="utf-8"?>
<ds:datastoreItem xmlns:ds="http://schemas.openxmlformats.org/officeDocument/2006/customXml" ds:itemID="{05B5CA08-C2C6-4FBA-AD72-5A3B61B2D7A1}"/>
</file>

<file path=customXml/itemProps3.xml><?xml version="1.0" encoding="utf-8"?>
<ds:datastoreItem xmlns:ds="http://schemas.openxmlformats.org/officeDocument/2006/customXml" ds:itemID="{37FE4C63-F05A-4665-832A-D11FE9B810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Kendrick</dc:creator>
  <keywords/>
  <dc:description/>
  <lastModifiedBy>Steven Kendrick</lastModifiedBy>
  <revision>18</revision>
  <dcterms:created xsi:type="dcterms:W3CDTF">2025-04-25T13:54:00.0000000Z</dcterms:created>
  <dcterms:modified xsi:type="dcterms:W3CDTF">2025-10-02T13:11:57.6779310Z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0x0101006B64AFD7EB22774DB8B223FD9C97A079</vt:lpwstr>
  </property>
  <property fmtid="{D5CDD505-2E9C-101B-9397-08002B2CF9AE}" pid="3" name="MediaServiceImageTags">
    <vt:lpwstr/>
  </property>
</Properties>
</file>